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0F81" w:rsidRDefault="00DB0F81">
      <w:pPr>
        <w:pStyle w:val="BodyText"/>
        <w:spacing w:before="10"/>
        <w:rPr>
          <w:b/>
          <w:sz w:val="19"/>
        </w:rPr>
      </w:pPr>
    </w:p>
    <w:p w:rsidR="00DB0F81" w:rsidRDefault="00231745">
      <w:pPr>
        <w:ind w:left="2468" w:right="2584"/>
        <w:jc w:val="center"/>
        <w:rPr>
          <w:b/>
          <w:sz w:val="20"/>
        </w:rPr>
      </w:pPr>
      <w:r>
        <w:rPr>
          <w:b/>
          <w:sz w:val="20"/>
          <w:u w:val="thick"/>
        </w:rPr>
        <w:t>Policy for determining material subsidiaries</w:t>
      </w:r>
    </w:p>
    <w:p w:rsidR="00DB0F81" w:rsidRDefault="00DB0F81">
      <w:pPr>
        <w:pStyle w:val="BodyText"/>
        <w:rPr>
          <w:b/>
          <w:sz w:val="12"/>
        </w:rPr>
      </w:pPr>
    </w:p>
    <w:p w:rsidR="00DB0F81" w:rsidRDefault="00231745">
      <w:pPr>
        <w:pStyle w:val="ListParagraph"/>
        <w:numPr>
          <w:ilvl w:val="0"/>
          <w:numId w:val="1"/>
        </w:numPr>
        <w:tabs>
          <w:tab w:val="left" w:pos="820"/>
          <w:tab w:val="left" w:pos="821"/>
        </w:tabs>
        <w:spacing w:before="93"/>
        <w:ind w:hanging="721"/>
        <w:rPr>
          <w:b/>
          <w:sz w:val="20"/>
        </w:rPr>
      </w:pPr>
      <w:r>
        <w:rPr>
          <w:b/>
          <w:sz w:val="20"/>
          <w:u w:val="thick"/>
        </w:rPr>
        <w:t>Objective of the</w:t>
      </w:r>
      <w:r>
        <w:rPr>
          <w:b/>
          <w:spacing w:val="-2"/>
          <w:sz w:val="20"/>
          <w:u w:val="thick"/>
        </w:rPr>
        <w:t xml:space="preserve"> </w:t>
      </w:r>
      <w:r>
        <w:rPr>
          <w:b/>
          <w:sz w:val="20"/>
          <w:u w:val="thick"/>
        </w:rPr>
        <w:t>Policy</w:t>
      </w:r>
    </w:p>
    <w:p w:rsidR="00DB0F81" w:rsidRDefault="00DB0F81">
      <w:pPr>
        <w:pStyle w:val="BodyText"/>
        <w:rPr>
          <w:b/>
          <w:sz w:val="12"/>
        </w:rPr>
      </w:pPr>
    </w:p>
    <w:p w:rsidR="00DB0F81" w:rsidRDefault="00231745">
      <w:pPr>
        <w:pStyle w:val="ListParagraph"/>
        <w:numPr>
          <w:ilvl w:val="1"/>
          <w:numId w:val="1"/>
        </w:numPr>
        <w:tabs>
          <w:tab w:val="left" w:pos="821"/>
        </w:tabs>
        <w:spacing w:before="93"/>
        <w:ind w:right="117" w:firstLine="0"/>
        <w:jc w:val="both"/>
        <w:rPr>
          <w:sz w:val="20"/>
        </w:rPr>
      </w:pPr>
      <w:r>
        <w:rPr>
          <w:sz w:val="20"/>
        </w:rPr>
        <w:t>The objective of this Policy is to Pursuant to Regulation 16(1)(c) of determine the Material Subsidiaries of the Company and to provide the governance framework for such subsidiaries as required under of the Securities and Exchange Board of India (Listing Obligations and Disclosure Requirements) Regulations, 2015 (SEBI LODR), covering the</w:t>
      </w:r>
      <w:r>
        <w:rPr>
          <w:spacing w:val="-7"/>
          <w:sz w:val="20"/>
        </w:rPr>
        <w:t xml:space="preserve"> </w:t>
      </w:r>
      <w:r>
        <w:rPr>
          <w:sz w:val="20"/>
        </w:rPr>
        <w:t>following:</w:t>
      </w:r>
    </w:p>
    <w:p w:rsidR="00DB0F81" w:rsidRDefault="00DB0F81">
      <w:pPr>
        <w:pStyle w:val="BodyText"/>
      </w:pPr>
    </w:p>
    <w:p w:rsidR="00DB0F81" w:rsidRDefault="00231745">
      <w:pPr>
        <w:pStyle w:val="ListParagraph"/>
        <w:numPr>
          <w:ilvl w:val="2"/>
          <w:numId w:val="1"/>
        </w:numPr>
        <w:tabs>
          <w:tab w:val="left" w:pos="1094"/>
        </w:tabs>
        <w:jc w:val="left"/>
        <w:rPr>
          <w:sz w:val="20"/>
        </w:rPr>
      </w:pPr>
      <w:r>
        <w:rPr>
          <w:sz w:val="20"/>
        </w:rPr>
        <w:t>meaning of ‘Material’</w:t>
      </w:r>
      <w:r>
        <w:rPr>
          <w:spacing w:val="-2"/>
          <w:sz w:val="20"/>
        </w:rPr>
        <w:t xml:space="preserve"> </w:t>
      </w:r>
      <w:r>
        <w:rPr>
          <w:sz w:val="20"/>
        </w:rPr>
        <w:t>Subsidiary</w:t>
      </w:r>
    </w:p>
    <w:p w:rsidR="00DB0F81" w:rsidRDefault="00231745">
      <w:pPr>
        <w:pStyle w:val="ListParagraph"/>
        <w:numPr>
          <w:ilvl w:val="2"/>
          <w:numId w:val="1"/>
        </w:numPr>
        <w:tabs>
          <w:tab w:val="left" w:pos="1094"/>
        </w:tabs>
        <w:spacing w:line="229" w:lineRule="exact"/>
        <w:ind w:hanging="298"/>
        <w:jc w:val="left"/>
        <w:rPr>
          <w:sz w:val="20"/>
        </w:rPr>
      </w:pPr>
      <w:r>
        <w:rPr>
          <w:sz w:val="20"/>
        </w:rPr>
        <w:t>requirement of Independent Director in certain Unlisted Material</w:t>
      </w:r>
      <w:r>
        <w:rPr>
          <w:spacing w:val="-6"/>
          <w:sz w:val="20"/>
        </w:rPr>
        <w:t xml:space="preserve"> </w:t>
      </w:r>
      <w:r>
        <w:rPr>
          <w:sz w:val="20"/>
        </w:rPr>
        <w:t>Subsidiaries.</w:t>
      </w:r>
    </w:p>
    <w:p w:rsidR="00DB0F81" w:rsidRDefault="00231745">
      <w:pPr>
        <w:pStyle w:val="ListParagraph"/>
        <w:numPr>
          <w:ilvl w:val="2"/>
          <w:numId w:val="1"/>
        </w:numPr>
        <w:tabs>
          <w:tab w:val="left" w:pos="1094"/>
        </w:tabs>
        <w:spacing w:line="229" w:lineRule="exact"/>
        <w:ind w:hanging="344"/>
        <w:jc w:val="left"/>
        <w:rPr>
          <w:sz w:val="20"/>
        </w:rPr>
      </w:pPr>
      <w:r>
        <w:rPr>
          <w:sz w:val="20"/>
        </w:rPr>
        <w:t>Restriction on disposal of shares of Material</w:t>
      </w:r>
      <w:r>
        <w:rPr>
          <w:spacing w:val="-4"/>
          <w:sz w:val="20"/>
        </w:rPr>
        <w:t xml:space="preserve"> </w:t>
      </w:r>
      <w:r>
        <w:rPr>
          <w:sz w:val="20"/>
        </w:rPr>
        <w:t>Subsidiary</w:t>
      </w:r>
    </w:p>
    <w:p w:rsidR="00DB0F81" w:rsidRDefault="00231745">
      <w:pPr>
        <w:pStyle w:val="ListParagraph"/>
        <w:numPr>
          <w:ilvl w:val="2"/>
          <w:numId w:val="1"/>
        </w:numPr>
        <w:tabs>
          <w:tab w:val="left" w:pos="1094"/>
        </w:tabs>
        <w:spacing w:before="1"/>
        <w:ind w:hanging="353"/>
        <w:jc w:val="left"/>
        <w:rPr>
          <w:sz w:val="20"/>
        </w:rPr>
      </w:pPr>
      <w:r>
        <w:rPr>
          <w:sz w:val="20"/>
        </w:rPr>
        <w:t>Restriction on transfer of assets of Material</w:t>
      </w:r>
      <w:r>
        <w:rPr>
          <w:spacing w:val="-3"/>
          <w:sz w:val="20"/>
        </w:rPr>
        <w:t xml:space="preserve"> </w:t>
      </w:r>
      <w:r>
        <w:rPr>
          <w:sz w:val="20"/>
        </w:rPr>
        <w:t>Subsidiary</w:t>
      </w:r>
    </w:p>
    <w:p w:rsidR="00DB0F81" w:rsidRDefault="00231745">
      <w:pPr>
        <w:pStyle w:val="ListParagraph"/>
        <w:numPr>
          <w:ilvl w:val="2"/>
          <w:numId w:val="1"/>
        </w:numPr>
        <w:tabs>
          <w:tab w:val="left" w:pos="1094"/>
        </w:tabs>
        <w:spacing w:before="1"/>
        <w:ind w:hanging="310"/>
        <w:jc w:val="left"/>
        <w:rPr>
          <w:sz w:val="20"/>
        </w:rPr>
      </w:pPr>
      <w:r>
        <w:rPr>
          <w:sz w:val="20"/>
        </w:rPr>
        <w:t>Secretarial audit by Material Unlisted Subsidiaries incorporated in India;</w:t>
      </w:r>
      <w:r>
        <w:rPr>
          <w:spacing w:val="-2"/>
          <w:sz w:val="20"/>
        </w:rPr>
        <w:t xml:space="preserve"> </w:t>
      </w:r>
      <w:r>
        <w:rPr>
          <w:sz w:val="20"/>
        </w:rPr>
        <w:t>and</w:t>
      </w:r>
    </w:p>
    <w:p w:rsidR="00DB0F81" w:rsidRDefault="00231745">
      <w:pPr>
        <w:pStyle w:val="ListParagraph"/>
        <w:numPr>
          <w:ilvl w:val="2"/>
          <w:numId w:val="1"/>
        </w:numPr>
        <w:tabs>
          <w:tab w:val="left" w:pos="1094"/>
        </w:tabs>
        <w:ind w:hanging="353"/>
        <w:jc w:val="left"/>
        <w:rPr>
          <w:sz w:val="20"/>
        </w:rPr>
      </w:pPr>
      <w:r>
        <w:rPr>
          <w:sz w:val="20"/>
        </w:rPr>
        <w:t>Disclosure requirements as prescribed under SEBI</w:t>
      </w:r>
      <w:r>
        <w:rPr>
          <w:spacing w:val="-2"/>
          <w:sz w:val="20"/>
        </w:rPr>
        <w:t xml:space="preserve"> </w:t>
      </w:r>
      <w:r>
        <w:rPr>
          <w:sz w:val="20"/>
        </w:rPr>
        <w:t>LODR.</w:t>
      </w:r>
    </w:p>
    <w:p w:rsidR="00DB0F81" w:rsidRDefault="00DB0F81">
      <w:pPr>
        <w:pStyle w:val="BodyText"/>
        <w:spacing w:before="1"/>
      </w:pPr>
    </w:p>
    <w:p w:rsidR="00DB0F81" w:rsidRDefault="00231745">
      <w:pPr>
        <w:pStyle w:val="Heading1"/>
        <w:numPr>
          <w:ilvl w:val="0"/>
          <w:numId w:val="1"/>
        </w:numPr>
        <w:tabs>
          <w:tab w:val="left" w:pos="821"/>
        </w:tabs>
        <w:ind w:hanging="721"/>
        <w:jc w:val="both"/>
        <w:rPr>
          <w:u w:val="none"/>
        </w:rPr>
      </w:pPr>
      <w:r>
        <w:rPr>
          <w:u w:val="thick"/>
        </w:rPr>
        <w:t>Definitions</w:t>
      </w:r>
    </w:p>
    <w:p w:rsidR="00DB0F81" w:rsidRDefault="00DB0F81">
      <w:pPr>
        <w:pStyle w:val="BodyText"/>
        <w:spacing w:before="5" w:after="1"/>
        <w:rPr>
          <w:b/>
        </w:rPr>
      </w:pPr>
    </w:p>
    <w:tbl>
      <w:tblPr>
        <w:tblW w:w="0" w:type="auto"/>
        <w:tblInd w:w="555" w:type="dxa"/>
        <w:tblLayout w:type="fixed"/>
        <w:tblCellMar>
          <w:left w:w="0" w:type="dxa"/>
          <w:right w:w="0" w:type="dxa"/>
        </w:tblCellMar>
        <w:tblLook w:val="01E0" w:firstRow="1" w:lastRow="1" w:firstColumn="1" w:lastColumn="1" w:noHBand="0" w:noVBand="0"/>
      </w:tblPr>
      <w:tblGrid>
        <w:gridCol w:w="1743"/>
        <w:gridCol w:w="6577"/>
      </w:tblGrid>
      <w:tr w:rsidR="00DB0F81">
        <w:trPr>
          <w:trHeight w:val="687"/>
        </w:trPr>
        <w:tc>
          <w:tcPr>
            <w:tcW w:w="1743" w:type="dxa"/>
          </w:tcPr>
          <w:p w:rsidR="00DB0F81" w:rsidRDefault="00231745">
            <w:pPr>
              <w:pStyle w:val="TableParagraph"/>
              <w:spacing w:line="223" w:lineRule="exact"/>
              <w:ind w:left="200"/>
              <w:rPr>
                <w:sz w:val="20"/>
              </w:rPr>
            </w:pPr>
            <w:r>
              <w:rPr>
                <w:sz w:val="20"/>
              </w:rPr>
              <w:t>“Act”</w:t>
            </w:r>
          </w:p>
        </w:tc>
        <w:tc>
          <w:tcPr>
            <w:tcW w:w="6577" w:type="dxa"/>
          </w:tcPr>
          <w:p w:rsidR="00DB0F81" w:rsidRDefault="00231745">
            <w:pPr>
              <w:pStyle w:val="TableParagraph"/>
              <w:rPr>
                <w:sz w:val="20"/>
              </w:rPr>
            </w:pPr>
            <w:r>
              <w:rPr>
                <w:sz w:val="20"/>
              </w:rPr>
              <w:t>means the Companies Act, 2013 and the rules made thereunder (including any statutory modification/re-enactment thereof for the</w:t>
            </w:r>
          </w:p>
          <w:p w:rsidR="00DB0F81" w:rsidRDefault="00231745">
            <w:pPr>
              <w:pStyle w:val="TableParagraph"/>
              <w:spacing w:line="214" w:lineRule="exact"/>
              <w:rPr>
                <w:sz w:val="20"/>
              </w:rPr>
            </w:pPr>
            <w:r>
              <w:rPr>
                <w:sz w:val="20"/>
              </w:rPr>
              <w:t>time being in force).</w:t>
            </w:r>
          </w:p>
        </w:tc>
      </w:tr>
      <w:tr w:rsidR="00DB0F81">
        <w:trPr>
          <w:trHeight w:val="308"/>
        </w:trPr>
        <w:tc>
          <w:tcPr>
            <w:tcW w:w="1743" w:type="dxa"/>
          </w:tcPr>
          <w:p w:rsidR="00DB0F81" w:rsidRDefault="00231745">
            <w:pPr>
              <w:pStyle w:val="TableParagraph"/>
              <w:spacing w:line="227" w:lineRule="exact"/>
              <w:ind w:left="255"/>
              <w:rPr>
                <w:sz w:val="20"/>
              </w:rPr>
            </w:pPr>
            <w:r>
              <w:rPr>
                <w:sz w:val="20"/>
              </w:rPr>
              <w:t>“Company”</w:t>
            </w:r>
          </w:p>
        </w:tc>
        <w:tc>
          <w:tcPr>
            <w:tcW w:w="6577" w:type="dxa"/>
          </w:tcPr>
          <w:p w:rsidR="00DB0F81" w:rsidRDefault="00231745">
            <w:pPr>
              <w:pStyle w:val="TableParagraph"/>
              <w:spacing w:line="227" w:lineRule="exact"/>
              <w:rPr>
                <w:sz w:val="20"/>
              </w:rPr>
            </w:pPr>
            <w:r>
              <w:rPr>
                <w:sz w:val="20"/>
              </w:rPr>
              <w:t xml:space="preserve">means ‘The </w:t>
            </w:r>
            <w:proofErr w:type="spellStart"/>
            <w:r>
              <w:rPr>
                <w:sz w:val="20"/>
              </w:rPr>
              <w:t>T</w:t>
            </w:r>
            <w:r w:rsidR="00996A80">
              <w:rPr>
                <w:sz w:val="20"/>
              </w:rPr>
              <w:t>ejnaksh</w:t>
            </w:r>
            <w:proofErr w:type="spellEnd"/>
            <w:r w:rsidR="00996A80">
              <w:rPr>
                <w:sz w:val="20"/>
              </w:rPr>
              <w:t xml:space="preserve"> Healthcare Limited</w:t>
            </w:r>
            <w:r>
              <w:rPr>
                <w:sz w:val="20"/>
              </w:rPr>
              <w:t>’</w:t>
            </w:r>
          </w:p>
        </w:tc>
      </w:tr>
      <w:tr w:rsidR="00DB0F81">
        <w:trPr>
          <w:trHeight w:val="1458"/>
        </w:trPr>
        <w:tc>
          <w:tcPr>
            <w:tcW w:w="1743" w:type="dxa"/>
          </w:tcPr>
          <w:p w:rsidR="00DB0F81" w:rsidRDefault="00231745">
            <w:pPr>
              <w:pStyle w:val="TableParagraph"/>
              <w:spacing w:before="74"/>
              <w:ind w:left="200"/>
              <w:rPr>
                <w:sz w:val="20"/>
              </w:rPr>
            </w:pPr>
            <w:r>
              <w:rPr>
                <w:sz w:val="20"/>
              </w:rPr>
              <w:t>“Control”</w:t>
            </w:r>
          </w:p>
        </w:tc>
        <w:tc>
          <w:tcPr>
            <w:tcW w:w="6577" w:type="dxa"/>
          </w:tcPr>
          <w:p w:rsidR="00DB0F81" w:rsidRDefault="00231745">
            <w:pPr>
              <w:pStyle w:val="TableParagraph"/>
              <w:spacing w:before="74"/>
              <w:ind w:right="199"/>
              <w:jc w:val="both"/>
              <w:rPr>
                <w:sz w:val="20"/>
              </w:rPr>
            </w:pPr>
            <w:r>
              <w:rPr>
                <w:sz w:val="20"/>
              </w:rPr>
              <w:t>shall include the right to appoint majority of the directors or to control the management or policy decisions exercisable by a person or persons acting individually or in concert, directly or indirectly, including by virtue of their shareholding or management rights or shareholder</w:t>
            </w:r>
            <w:r>
              <w:rPr>
                <w:spacing w:val="18"/>
                <w:sz w:val="20"/>
              </w:rPr>
              <w:t xml:space="preserve"> </w:t>
            </w:r>
            <w:r>
              <w:rPr>
                <w:sz w:val="20"/>
              </w:rPr>
              <w:t>agreements</w:t>
            </w:r>
            <w:r>
              <w:rPr>
                <w:spacing w:val="17"/>
                <w:sz w:val="20"/>
              </w:rPr>
              <w:t xml:space="preserve"> </w:t>
            </w:r>
            <w:r>
              <w:rPr>
                <w:sz w:val="20"/>
              </w:rPr>
              <w:t>or</w:t>
            </w:r>
            <w:r>
              <w:rPr>
                <w:spacing w:val="16"/>
                <w:sz w:val="20"/>
              </w:rPr>
              <w:t xml:space="preserve"> </w:t>
            </w:r>
            <w:r>
              <w:rPr>
                <w:sz w:val="20"/>
              </w:rPr>
              <w:t>voting</w:t>
            </w:r>
            <w:r>
              <w:rPr>
                <w:spacing w:val="14"/>
                <w:sz w:val="20"/>
              </w:rPr>
              <w:t xml:space="preserve"> </w:t>
            </w:r>
            <w:r>
              <w:rPr>
                <w:sz w:val="20"/>
              </w:rPr>
              <w:t>agreements</w:t>
            </w:r>
            <w:r>
              <w:rPr>
                <w:spacing w:val="17"/>
                <w:sz w:val="20"/>
              </w:rPr>
              <w:t xml:space="preserve"> </w:t>
            </w:r>
            <w:r>
              <w:rPr>
                <w:sz w:val="20"/>
              </w:rPr>
              <w:t>or</w:t>
            </w:r>
            <w:r>
              <w:rPr>
                <w:spacing w:val="16"/>
                <w:sz w:val="20"/>
              </w:rPr>
              <w:t xml:space="preserve"> </w:t>
            </w:r>
            <w:r>
              <w:rPr>
                <w:sz w:val="20"/>
              </w:rPr>
              <w:t>in</w:t>
            </w:r>
            <w:r>
              <w:rPr>
                <w:spacing w:val="14"/>
                <w:sz w:val="20"/>
              </w:rPr>
              <w:t xml:space="preserve"> </w:t>
            </w:r>
            <w:r>
              <w:rPr>
                <w:sz w:val="20"/>
              </w:rPr>
              <w:t>any</w:t>
            </w:r>
            <w:r>
              <w:rPr>
                <w:spacing w:val="15"/>
                <w:sz w:val="20"/>
              </w:rPr>
              <w:t xml:space="preserve"> </w:t>
            </w:r>
            <w:r>
              <w:rPr>
                <w:sz w:val="20"/>
              </w:rPr>
              <w:t>other</w:t>
            </w:r>
          </w:p>
          <w:p w:rsidR="00DB0F81" w:rsidRDefault="00231745">
            <w:pPr>
              <w:pStyle w:val="TableParagraph"/>
              <w:spacing w:line="214" w:lineRule="exact"/>
              <w:rPr>
                <w:sz w:val="20"/>
              </w:rPr>
            </w:pPr>
            <w:r>
              <w:rPr>
                <w:sz w:val="20"/>
              </w:rPr>
              <w:t>manner.</w:t>
            </w:r>
          </w:p>
        </w:tc>
      </w:tr>
      <w:tr w:rsidR="00DB0F81">
        <w:trPr>
          <w:trHeight w:val="919"/>
        </w:trPr>
        <w:tc>
          <w:tcPr>
            <w:tcW w:w="1743" w:type="dxa"/>
          </w:tcPr>
          <w:p w:rsidR="00DB0F81" w:rsidRDefault="00231745">
            <w:pPr>
              <w:pStyle w:val="TableParagraph"/>
              <w:ind w:left="200"/>
              <w:rPr>
                <w:sz w:val="20"/>
              </w:rPr>
            </w:pPr>
            <w:r>
              <w:rPr>
                <w:sz w:val="20"/>
              </w:rPr>
              <w:t xml:space="preserve">“Material </w:t>
            </w:r>
            <w:r>
              <w:rPr>
                <w:w w:val="95"/>
                <w:sz w:val="20"/>
              </w:rPr>
              <w:t>Subsidiary”</w:t>
            </w:r>
          </w:p>
        </w:tc>
        <w:tc>
          <w:tcPr>
            <w:tcW w:w="6577" w:type="dxa"/>
          </w:tcPr>
          <w:p w:rsidR="00DB0F81" w:rsidRDefault="00231745">
            <w:pPr>
              <w:pStyle w:val="TableParagraph"/>
              <w:rPr>
                <w:sz w:val="20"/>
              </w:rPr>
            </w:pPr>
            <w:r>
              <w:rPr>
                <w:sz w:val="20"/>
              </w:rPr>
              <w:t>Means a subsidiary, unless otherwise expressly defined, whose income or net worth exceeds ten percent of the consolidated</w:t>
            </w:r>
          </w:p>
          <w:p w:rsidR="00DB0F81" w:rsidRDefault="00231745">
            <w:pPr>
              <w:pStyle w:val="TableParagraph"/>
              <w:spacing w:line="230" w:lineRule="exact"/>
              <w:ind w:right="198"/>
              <w:rPr>
                <w:sz w:val="20"/>
              </w:rPr>
            </w:pPr>
            <w:r>
              <w:rPr>
                <w:sz w:val="20"/>
              </w:rPr>
              <w:t>income or net worth respectively, of the listed entity and its subsidiaries in the immediately preceding accounting year.</w:t>
            </w:r>
          </w:p>
        </w:tc>
      </w:tr>
      <w:tr w:rsidR="00DB0F81">
        <w:trPr>
          <w:trHeight w:val="794"/>
        </w:trPr>
        <w:tc>
          <w:tcPr>
            <w:tcW w:w="1743" w:type="dxa"/>
          </w:tcPr>
          <w:p w:rsidR="00DB0F81" w:rsidRDefault="00231745">
            <w:pPr>
              <w:pStyle w:val="TableParagraph"/>
              <w:spacing w:line="226" w:lineRule="exact"/>
              <w:ind w:left="200"/>
              <w:rPr>
                <w:sz w:val="20"/>
              </w:rPr>
            </w:pPr>
            <w:r>
              <w:rPr>
                <w:sz w:val="20"/>
              </w:rPr>
              <w:t>“SEBI LODR”</w:t>
            </w:r>
          </w:p>
        </w:tc>
        <w:tc>
          <w:tcPr>
            <w:tcW w:w="6577" w:type="dxa"/>
          </w:tcPr>
          <w:p w:rsidR="00DB0F81" w:rsidRDefault="00231745">
            <w:pPr>
              <w:pStyle w:val="TableParagraph"/>
              <w:ind w:right="198"/>
              <w:jc w:val="both"/>
              <w:rPr>
                <w:sz w:val="20"/>
              </w:rPr>
            </w:pPr>
            <w:r>
              <w:rPr>
                <w:sz w:val="20"/>
              </w:rPr>
              <w:t>means the Securities and Exchange Board of India (Listing Obligations and Disclosure Requirements) Regulations, 2015, the circulars issued thereunder and amendments thereto.</w:t>
            </w:r>
          </w:p>
        </w:tc>
      </w:tr>
      <w:tr w:rsidR="00DB0F81">
        <w:trPr>
          <w:trHeight w:val="606"/>
        </w:trPr>
        <w:tc>
          <w:tcPr>
            <w:tcW w:w="1743" w:type="dxa"/>
          </w:tcPr>
          <w:p w:rsidR="00DB0F81" w:rsidRDefault="00231745">
            <w:pPr>
              <w:pStyle w:val="TableParagraph"/>
              <w:spacing w:before="101"/>
              <w:ind w:left="200"/>
              <w:rPr>
                <w:sz w:val="20"/>
              </w:rPr>
            </w:pPr>
            <w:r>
              <w:rPr>
                <w:sz w:val="20"/>
              </w:rPr>
              <w:t>“Subsidiary”</w:t>
            </w:r>
          </w:p>
        </w:tc>
        <w:tc>
          <w:tcPr>
            <w:tcW w:w="6577" w:type="dxa"/>
          </w:tcPr>
          <w:p w:rsidR="00DB0F81" w:rsidRDefault="00231745">
            <w:pPr>
              <w:pStyle w:val="TableParagraph"/>
              <w:spacing w:before="101"/>
              <w:ind w:right="198"/>
              <w:rPr>
                <w:sz w:val="20"/>
              </w:rPr>
            </w:pPr>
            <w:r>
              <w:rPr>
                <w:sz w:val="20"/>
              </w:rPr>
              <w:t>shall mean as defined under the Companies Act, 2013 and the Rules made thereunder.</w:t>
            </w:r>
            <w:bookmarkStart w:id="0" w:name="_GoBack"/>
            <w:bookmarkEnd w:id="0"/>
          </w:p>
        </w:tc>
      </w:tr>
      <w:tr w:rsidR="00DB0F81">
        <w:trPr>
          <w:trHeight w:val="495"/>
        </w:trPr>
        <w:tc>
          <w:tcPr>
            <w:tcW w:w="8320" w:type="dxa"/>
            <w:gridSpan w:val="2"/>
          </w:tcPr>
          <w:p w:rsidR="00DB0F81" w:rsidRDefault="00231745">
            <w:pPr>
              <w:pStyle w:val="TableParagraph"/>
              <w:spacing w:before="42" w:line="228" w:lineRule="exact"/>
              <w:ind w:left="200" w:right="195"/>
              <w:rPr>
                <w:sz w:val="20"/>
              </w:rPr>
            </w:pPr>
            <w:r>
              <w:rPr>
                <w:sz w:val="20"/>
              </w:rPr>
              <w:t>Any other term not defined herein shall have the same meaning as defined under the Act, SEBI LODR or any other applicable law or regulation.</w:t>
            </w:r>
          </w:p>
        </w:tc>
      </w:tr>
    </w:tbl>
    <w:p w:rsidR="00DB0F81" w:rsidRDefault="00DB0F81">
      <w:pPr>
        <w:pStyle w:val="BodyText"/>
        <w:spacing w:before="2"/>
        <w:rPr>
          <w:b/>
          <w:sz w:val="27"/>
        </w:rPr>
      </w:pPr>
    </w:p>
    <w:p w:rsidR="00DB0F81" w:rsidRDefault="00231745">
      <w:pPr>
        <w:pStyle w:val="ListParagraph"/>
        <w:numPr>
          <w:ilvl w:val="0"/>
          <w:numId w:val="1"/>
        </w:numPr>
        <w:tabs>
          <w:tab w:val="left" w:pos="821"/>
        </w:tabs>
        <w:ind w:hanging="721"/>
        <w:jc w:val="both"/>
        <w:rPr>
          <w:b/>
          <w:sz w:val="20"/>
        </w:rPr>
      </w:pPr>
      <w:r>
        <w:rPr>
          <w:b/>
          <w:sz w:val="20"/>
          <w:u w:val="thick"/>
        </w:rPr>
        <w:t>Independent Director on the Board of an Unlisted Material Subsidiary</w:t>
      </w:r>
    </w:p>
    <w:p w:rsidR="00DB0F81" w:rsidRDefault="00DB0F81">
      <w:pPr>
        <w:pStyle w:val="BodyText"/>
        <w:spacing w:before="9"/>
        <w:rPr>
          <w:b/>
          <w:sz w:val="11"/>
        </w:rPr>
      </w:pPr>
    </w:p>
    <w:p w:rsidR="00DB0F81" w:rsidRDefault="00231745">
      <w:pPr>
        <w:pStyle w:val="ListParagraph"/>
        <w:numPr>
          <w:ilvl w:val="1"/>
          <w:numId w:val="1"/>
        </w:numPr>
        <w:tabs>
          <w:tab w:val="left" w:pos="821"/>
        </w:tabs>
        <w:spacing w:before="93"/>
        <w:ind w:right="118" w:firstLine="0"/>
        <w:jc w:val="both"/>
        <w:rPr>
          <w:sz w:val="20"/>
        </w:rPr>
      </w:pPr>
      <w:r>
        <w:rPr>
          <w:sz w:val="20"/>
        </w:rPr>
        <w:t>At least one Independent Director on the Board of Directors of the Company shall be a director on the board of directors of an unlisted material subsidiary, whether incorporated in India or not.</w:t>
      </w:r>
    </w:p>
    <w:p w:rsidR="00DB0F81" w:rsidRDefault="00DB0F81">
      <w:pPr>
        <w:pStyle w:val="BodyText"/>
        <w:spacing w:before="2"/>
      </w:pPr>
    </w:p>
    <w:p w:rsidR="00DB0F81" w:rsidRDefault="00231745">
      <w:pPr>
        <w:pStyle w:val="ListParagraph"/>
        <w:numPr>
          <w:ilvl w:val="1"/>
          <w:numId w:val="1"/>
        </w:numPr>
        <w:tabs>
          <w:tab w:val="left" w:pos="821"/>
        </w:tabs>
        <w:ind w:right="118" w:firstLine="0"/>
        <w:jc w:val="both"/>
        <w:rPr>
          <w:sz w:val="20"/>
        </w:rPr>
      </w:pPr>
      <w:r>
        <w:rPr>
          <w:sz w:val="20"/>
        </w:rPr>
        <w:t>For the purpose of appointment of one Independent Director on the board of directors of unlisted material subsidiary, material subsidiary means a subsidiary, whose income or net worth exceeds twenty percent of the consolidated income or net worth respectively, of the listed entity and its subsidiaries in the immediately preceding accounting</w:t>
      </w:r>
      <w:r>
        <w:rPr>
          <w:spacing w:val="-4"/>
          <w:sz w:val="20"/>
        </w:rPr>
        <w:t xml:space="preserve"> </w:t>
      </w:r>
      <w:r>
        <w:rPr>
          <w:sz w:val="20"/>
        </w:rPr>
        <w:t>year.</w:t>
      </w:r>
    </w:p>
    <w:p w:rsidR="00DB0F81" w:rsidRDefault="00DB0F81">
      <w:pPr>
        <w:pStyle w:val="BodyText"/>
      </w:pPr>
    </w:p>
    <w:p w:rsidR="00DB0F81" w:rsidRDefault="00231745">
      <w:pPr>
        <w:pStyle w:val="Heading1"/>
        <w:numPr>
          <w:ilvl w:val="0"/>
          <w:numId w:val="1"/>
        </w:numPr>
        <w:tabs>
          <w:tab w:val="left" w:pos="821"/>
        </w:tabs>
        <w:ind w:hanging="721"/>
        <w:jc w:val="both"/>
        <w:rPr>
          <w:u w:val="none"/>
        </w:rPr>
      </w:pPr>
      <w:r>
        <w:rPr>
          <w:u w:val="thick"/>
        </w:rPr>
        <w:t>Restrictions on disposal of shares of material</w:t>
      </w:r>
      <w:r>
        <w:rPr>
          <w:spacing w:val="2"/>
          <w:u w:val="thick"/>
        </w:rPr>
        <w:t xml:space="preserve"> </w:t>
      </w:r>
      <w:r>
        <w:rPr>
          <w:u w:val="thick"/>
        </w:rPr>
        <w:t>subsidiary</w:t>
      </w:r>
    </w:p>
    <w:p w:rsidR="00DB0F81" w:rsidRDefault="00DB0F81">
      <w:pPr>
        <w:pStyle w:val="BodyText"/>
        <w:rPr>
          <w:b/>
          <w:sz w:val="12"/>
        </w:rPr>
      </w:pPr>
    </w:p>
    <w:p w:rsidR="00DB0F81" w:rsidRDefault="00231745">
      <w:pPr>
        <w:pStyle w:val="ListParagraph"/>
        <w:numPr>
          <w:ilvl w:val="1"/>
          <w:numId w:val="1"/>
        </w:numPr>
        <w:tabs>
          <w:tab w:val="left" w:pos="821"/>
        </w:tabs>
        <w:spacing w:before="93"/>
        <w:ind w:right="117" w:firstLine="0"/>
        <w:jc w:val="both"/>
        <w:rPr>
          <w:sz w:val="20"/>
        </w:rPr>
      </w:pPr>
      <w:r>
        <w:rPr>
          <w:sz w:val="20"/>
        </w:rPr>
        <w:t>The Company shall not dispose of shares in its Material Subsidiary which would reduce its shareholding (either on its own or together with other subsidiaries) to less than fifty percent (50%) or cease the exercise of control over the subsidiary without passing a special resolution in its General Meeting</w:t>
      </w:r>
      <w:r>
        <w:rPr>
          <w:spacing w:val="7"/>
          <w:sz w:val="20"/>
        </w:rPr>
        <w:t xml:space="preserve"> </w:t>
      </w:r>
      <w:r>
        <w:rPr>
          <w:sz w:val="20"/>
        </w:rPr>
        <w:t>except</w:t>
      </w:r>
      <w:r>
        <w:rPr>
          <w:spacing w:val="7"/>
          <w:sz w:val="20"/>
        </w:rPr>
        <w:t xml:space="preserve"> </w:t>
      </w:r>
      <w:r>
        <w:rPr>
          <w:sz w:val="20"/>
        </w:rPr>
        <w:t>in</w:t>
      </w:r>
      <w:r>
        <w:rPr>
          <w:spacing w:val="5"/>
          <w:sz w:val="20"/>
        </w:rPr>
        <w:t xml:space="preserve"> </w:t>
      </w:r>
      <w:r>
        <w:rPr>
          <w:sz w:val="20"/>
        </w:rPr>
        <w:t>such</w:t>
      </w:r>
      <w:r>
        <w:rPr>
          <w:spacing w:val="5"/>
          <w:sz w:val="20"/>
        </w:rPr>
        <w:t xml:space="preserve"> </w:t>
      </w:r>
      <w:r>
        <w:rPr>
          <w:sz w:val="20"/>
        </w:rPr>
        <w:t>cases</w:t>
      </w:r>
      <w:r>
        <w:rPr>
          <w:spacing w:val="6"/>
          <w:sz w:val="20"/>
        </w:rPr>
        <w:t xml:space="preserve"> </w:t>
      </w:r>
      <w:r>
        <w:rPr>
          <w:sz w:val="20"/>
        </w:rPr>
        <w:t>where</w:t>
      </w:r>
      <w:r>
        <w:rPr>
          <w:spacing w:val="6"/>
          <w:sz w:val="20"/>
        </w:rPr>
        <w:t xml:space="preserve"> </w:t>
      </w:r>
      <w:r>
        <w:rPr>
          <w:sz w:val="20"/>
        </w:rPr>
        <w:t>divestment</w:t>
      </w:r>
      <w:r>
        <w:rPr>
          <w:spacing w:val="5"/>
          <w:sz w:val="20"/>
        </w:rPr>
        <w:t xml:space="preserve"> </w:t>
      </w:r>
      <w:r>
        <w:rPr>
          <w:sz w:val="20"/>
        </w:rPr>
        <w:t>is</w:t>
      </w:r>
      <w:r>
        <w:rPr>
          <w:spacing w:val="6"/>
          <w:sz w:val="20"/>
        </w:rPr>
        <w:t xml:space="preserve"> </w:t>
      </w:r>
      <w:r>
        <w:rPr>
          <w:sz w:val="20"/>
        </w:rPr>
        <w:t>under</w:t>
      </w:r>
      <w:r>
        <w:rPr>
          <w:spacing w:val="6"/>
          <w:sz w:val="20"/>
        </w:rPr>
        <w:t xml:space="preserve"> </w:t>
      </w:r>
      <w:r>
        <w:rPr>
          <w:sz w:val="20"/>
        </w:rPr>
        <w:t>a</w:t>
      </w:r>
      <w:r>
        <w:rPr>
          <w:spacing w:val="5"/>
          <w:sz w:val="20"/>
        </w:rPr>
        <w:t xml:space="preserve"> </w:t>
      </w:r>
      <w:r>
        <w:rPr>
          <w:sz w:val="20"/>
        </w:rPr>
        <w:t>scheme</w:t>
      </w:r>
      <w:r>
        <w:rPr>
          <w:spacing w:val="5"/>
          <w:sz w:val="20"/>
        </w:rPr>
        <w:t xml:space="preserve"> </w:t>
      </w:r>
      <w:r>
        <w:rPr>
          <w:sz w:val="20"/>
        </w:rPr>
        <w:t>of</w:t>
      </w:r>
      <w:r>
        <w:rPr>
          <w:spacing w:val="8"/>
          <w:sz w:val="20"/>
        </w:rPr>
        <w:t xml:space="preserve"> </w:t>
      </w:r>
      <w:r>
        <w:rPr>
          <w:sz w:val="20"/>
        </w:rPr>
        <w:t>arrangement</w:t>
      </w:r>
      <w:r>
        <w:rPr>
          <w:spacing w:val="5"/>
          <w:sz w:val="20"/>
        </w:rPr>
        <w:t xml:space="preserve"> </w:t>
      </w:r>
      <w:r>
        <w:rPr>
          <w:sz w:val="20"/>
        </w:rPr>
        <w:t>duly</w:t>
      </w:r>
      <w:r>
        <w:rPr>
          <w:spacing w:val="4"/>
          <w:sz w:val="20"/>
        </w:rPr>
        <w:t xml:space="preserve"> </w:t>
      </w:r>
      <w:r>
        <w:rPr>
          <w:sz w:val="20"/>
        </w:rPr>
        <w:t>approved</w:t>
      </w:r>
      <w:r>
        <w:rPr>
          <w:spacing w:val="4"/>
          <w:sz w:val="20"/>
        </w:rPr>
        <w:t xml:space="preserve"> </w:t>
      </w:r>
      <w:r>
        <w:rPr>
          <w:sz w:val="20"/>
        </w:rPr>
        <w:t>by</w:t>
      </w:r>
    </w:p>
    <w:p w:rsidR="00DB0F81" w:rsidRDefault="00DB0F81">
      <w:pPr>
        <w:jc w:val="both"/>
        <w:rPr>
          <w:sz w:val="20"/>
        </w:rPr>
        <w:sectPr w:rsidR="00DB0F81">
          <w:headerReference w:type="default" r:id="rId7"/>
          <w:footerReference w:type="default" r:id="rId8"/>
          <w:type w:val="continuous"/>
          <w:pgSz w:w="11910" w:h="16840"/>
          <w:pgMar w:top="1440" w:right="1320" w:bottom="700" w:left="1340" w:header="279" w:footer="511" w:gutter="0"/>
          <w:pgNumType w:start="1"/>
          <w:cols w:space="720"/>
        </w:sectPr>
      </w:pPr>
    </w:p>
    <w:p w:rsidR="00DB0F81" w:rsidRDefault="000C48D4">
      <w:pPr>
        <w:pStyle w:val="BodyText"/>
        <w:spacing w:before="82"/>
        <w:ind w:left="100" w:right="119"/>
        <w:jc w:val="both"/>
      </w:pPr>
      <w:r>
        <w:lastRenderedPageBreak/>
        <w:pict>
          <v:shape id="_x0000_s1026" style="position:absolute;left:0;text-align:left;margin-left:61.55pt;margin-top:74.9pt;width:462pt;height:710.2pt;z-index:-251658752;mso-position-horizontal-relative:page;mso-position-vertical-relative:page" coordorigin="1231,1498" coordsize="9240,14204" o:spt="100" adj="0,,0" path="m10471,15691r-9230,l1241,15691r,-14193l1231,1498r,14193l1231,15701r10,l10471,15701r,-10xm10471,1498r-9230,l1241,1507r9230,l10471,1498xe" fillcolor="black" stroked="f">
            <v:stroke joinstyle="round"/>
            <v:formulas/>
            <v:path arrowok="t" o:connecttype="segments"/>
            <w10:wrap anchorx="page" anchory="page"/>
          </v:shape>
        </w:pict>
      </w:r>
      <w:r w:rsidR="00231745">
        <w:t xml:space="preserve">a court/ tribunal or under a resolution plan duly approved under section 31 of the Insolvency Code and such as event is disclosed to the </w:t>
      </w:r>
      <w:proofErr w:type="spellStart"/>
      <w:r w:rsidR="00231745">
        <w:t>recognised</w:t>
      </w:r>
      <w:proofErr w:type="spellEnd"/>
      <w:r w:rsidR="00231745">
        <w:t xml:space="preserve"> stock exchanges within one day of the resolution plan being approved.</w:t>
      </w:r>
    </w:p>
    <w:p w:rsidR="00DB0F81" w:rsidRDefault="00DB0F81">
      <w:pPr>
        <w:pStyle w:val="BodyText"/>
      </w:pPr>
    </w:p>
    <w:p w:rsidR="00DB0F81" w:rsidRDefault="00231745">
      <w:pPr>
        <w:pStyle w:val="Heading1"/>
        <w:numPr>
          <w:ilvl w:val="0"/>
          <w:numId w:val="1"/>
        </w:numPr>
        <w:tabs>
          <w:tab w:val="left" w:pos="820"/>
          <w:tab w:val="left" w:pos="821"/>
        </w:tabs>
        <w:ind w:hanging="721"/>
        <w:rPr>
          <w:u w:val="none"/>
        </w:rPr>
      </w:pPr>
      <w:r>
        <w:rPr>
          <w:u w:val="thick"/>
        </w:rPr>
        <w:t>Restriction on disposal of its assets of material</w:t>
      </w:r>
      <w:r>
        <w:rPr>
          <w:spacing w:val="-3"/>
          <w:u w:val="thick"/>
        </w:rPr>
        <w:t xml:space="preserve"> </w:t>
      </w:r>
      <w:r>
        <w:rPr>
          <w:u w:val="thick"/>
        </w:rPr>
        <w:t>subsidiary</w:t>
      </w:r>
    </w:p>
    <w:p w:rsidR="00DB0F81" w:rsidRDefault="00DB0F81">
      <w:pPr>
        <w:pStyle w:val="BodyText"/>
        <w:rPr>
          <w:b/>
          <w:sz w:val="12"/>
        </w:rPr>
      </w:pPr>
    </w:p>
    <w:p w:rsidR="00DB0F81" w:rsidRDefault="00231745">
      <w:pPr>
        <w:pStyle w:val="ListParagraph"/>
        <w:numPr>
          <w:ilvl w:val="1"/>
          <w:numId w:val="1"/>
        </w:numPr>
        <w:tabs>
          <w:tab w:val="left" w:pos="821"/>
        </w:tabs>
        <w:spacing w:before="93"/>
        <w:ind w:right="115" w:firstLine="0"/>
        <w:jc w:val="both"/>
        <w:rPr>
          <w:sz w:val="20"/>
        </w:rPr>
      </w:pPr>
      <w:r>
        <w:rPr>
          <w:sz w:val="20"/>
        </w:rPr>
        <w:t xml:space="preserve">Selling, disposing and leasing of assets amounting to more than 20% of the assets of the Material Subsidiary on an aggregate basis during a financial year shall require prior approval of shareholders of the Company by way of special resolution, unless the sale/disposal/lease is made under a scheme of arrangement duly approved by a Court/Tribunal or under a resolution plan duly approved under section 31 of the Insolvency Code and such as event is disclosed to the </w:t>
      </w:r>
      <w:proofErr w:type="spellStart"/>
      <w:r>
        <w:rPr>
          <w:sz w:val="20"/>
        </w:rPr>
        <w:t>recognised</w:t>
      </w:r>
      <w:proofErr w:type="spellEnd"/>
      <w:r>
        <w:rPr>
          <w:sz w:val="20"/>
        </w:rPr>
        <w:t xml:space="preserve"> stock exchanges within one day of the resolution plan being</w:t>
      </w:r>
      <w:r>
        <w:rPr>
          <w:spacing w:val="1"/>
          <w:sz w:val="20"/>
        </w:rPr>
        <w:t xml:space="preserve"> </w:t>
      </w:r>
      <w:r>
        <w:rPr>
          <w:sz w:val="20"/>
        </w:rPr>
        <w:t>approved.</w:t>
      </w:r>
    </w:p>
    <w:p w:rsidR="00DB0F81" w:rsidRDefault="00DB0F81">
      <w:pPr>
        <w:pStyle w:val="BodyText"/>
        <w:spacing w:before="9"/>
        <w:rPr>
          <w:sz w:val="19"/>
        </w:rPr>
      </w:pPr>
    </w:p>
    <w:p w:rsidR="00DB0F81" w:rsidRDefault="00231745">
      <w:pPr>
        <w:pStyle w:val="Heading1"/>
        <w:numPr>
          <w:ilvl w:val="0"/>
          <w:numId w:val="1"/>
        </w:numPr>
        <w:tabs>
          <w:tab w:val="left" w:pos="821"/>
        </w:tabs>
        <w:ind w:hanging="721"/>
        <w:jc w:val="both"/>
        <w:rPr>
          <w:u w:val="none"/>
        </w:rPr>
      </w:pPr>
      <w:r>
        <w:rPr>
          <w:u w:val="thick"/>
        </w:rPr>
        <w:t>Secretarial audit by the Material Unlisted Subsidiaries incorporated in</w:t>
      </w:r>
      <w:r>
        <w:rPr>
          <w:spacing w:val="-9"/>
          <w:u w:val="thick"/>
        </w:rPr>
        <w:t xml:space="preserve"> </w:t>
      </w:r>
      <w:r>
        <w:rPr>
          <w:u w:val="thick"/>
        </w:rPr>
        <w:t>India</w:t>
      </w:r>
    </w:p>
    <w:p w:rsidR="00DB0F81" w:rsidRDefault="00DB0F81">
      <w:pPr>
        <w:pStyle w:val="BodyText"/>
        <w:spacing w:before="1"/>
        <w:rPr>
          <w:b/>
          <w:sz w:val="12"/>
        </w:rPr>
      </w:pPr>
    </w:p>
    <w:p w:rsidR="00DB0F81" w:rsidRDefault="00231745">
      <w:pPr>
        <w:pStyle w:val="ListParagraph"/>
        <w:numPr>
          <w:ilvl w:val="1"/>
          <w:numId w:val="1"/>
        </w:numPr>
        <w:tabs>
          <w:tab w:val="left" w:pos="821"/>
        </w:tabs>
        <w:spacing w:before="93"/>
        <w:ind w:right="115" w:firstLine="0"/>
        <w:jc w:val="both"/>
        <w:rPr>
          <w:sz w:val="20"/>
        </w:rPr>
      </w:pPr>
      <w:r>
        <w:rPr>
          <w:sz w:val="20"/>
        </w:rPr>
        <w:t>The Company and its material unlisted subsidiaries incorporated in India shall undertake secretarial audit and shall annex with its Annual Report, a secretarial audit report, given by a company secretary in practice, in Form No. MR-3 as specified under the Act with effect from the year ended March 31,</w:t>
      </w:r>
      <w:r>
        <w:rPr>
          <w:spacing w:val="-3"/>
          <w:sz w:val="20"/>
        </w:rPr>
        <w:t xml:space="preserve"> </w:t>
      </w:r>
      <w:r>
        <w:rPr>
          <w:sz w:val="20"/>
        </w:rPr>
        <w:t>2019.</w:t>
      </w:r>
    </w:p>
    <w:p w:rsidR="00DB0F81" w:rsidRDefault="00DB0F81">
      <w:pPr>
        <w:pStyle w:val="BodyText"/>
        <w:spacing w:before="11"/>
        <w:rPr>
          <w:sz w:val="19"/>
        </w:rPr>
      </w:pPr>
    </w:p>
    <w:p w:rsidR="00DB0F81" w:rsidRDefault="00231745">
      <w:pPr>
        <w:pStyle w:val="Heading1"/>
        <w:numPr>
          <w:ilvl w:val="0"/>
          <w:numId w:val="1"/>
        </w:numPr>
        <w:tabs>
          <w:tab w:val="left" w:pos="821"/>
        </w:tabs>
        <w:ind w:hanging="721"/>
        <w:jc w:val="both"/>
        <w:rPr>
          <w:u w:val="none"/>
        </w:rPr>
      </w:pPr>
      <w:r>
        <w:rPr>
          <w:u w:val="thick"/>
        </w:rPr>
        <w:t>Disclosures</w:t>
      </w:r>
    </w:p>
    <w:p w:rsidR="00DB0F81" w:rsidRDefault="00DB0F81">
      <w:pPr>
        <w:pStyle w:val="BodyText"/>
        <w:rPr>
          <w:b/>
          <w:sz w:val="12"/>
        </w:rPr>
      </w:pPr>
    </w:p>
    <w:p w:rsidR="00DB0F81" w:rsidRDefault="00231745">
      <w:pPr>
        <w:pStyle w:val="ListParagraph"/>
        <w:numPr>
          <w:ilvl w:val="1"/>
          <w:numId w:val="1"/>
        </w:numPr>
        <w:tabs>
          <w:tab w:val="left" w:pos="820"/>
          <w:tab w:val="left" w:pos="821"/>
        </w:tabs>
        <w:spacing w:before="93"/>
        <w:ind w:right="117" w:firstLine="0"/>
        <w:rPr>
          <w:sz w:val="20"/>
        </w:rPr>
      </w:pPr>
      <w:r>
        <w:rPr>
          <w:sz w:val="20"/>
        </w:rPr>
        <w:t>This Policy shall be disclosed on the Company’s website and a web link thereto shall be provided in the Annual</w:t>
      </w:r>
      <w:r>
        <w:rPr>
          <w:spacing w:val="-3"/>
          <w:sz w:val="20"/>
        </w:rPr>
        <w:t xml:space="preserve"> </w:t>
      </w:r>
      <w:r>
        <w:rPr>
          <w:sz w:val="20"/>
        </w:rPr>
        <w:t>Report.</w:t>
      </w:r>
    </w:p>
    <w:p w:rsidR="00DB0F81" w:rsidRDefault="00DB0F81">
      <w:pPr>
        <w:pStyle w:val="BodyText"/>
        <w:spacing w:before="10"/>
        <w:rPr>
          <w:sz w:val="19"/>
        </w:rPr>
      </w:pPr>
    </w:p>
    <w:p w:rsidR="00DB0F81" w:rsidRDefault="00231745">
      <w:pPr>
        <w:pStyle w:val="Heading1"/>
        <w:numPr>
          <w:ilvl w:val="0"/>
          <w:numId w:val="1"/>
        </w:numPr>
        <w:tabs>
          <w:tab w:val="left" w:pos="820"/>
          <w:tab w:val="left" w:pos="821"/>
        </w:tabs>
        <w:ind w:hanging="721"/>
        <w:rPr>
          <w:u w:val="none"/>
        </w:rPr>
      </w:pPr>
      <w:r>
        <w:rPr>
          <w:u w:val="thick"/>
        </w:rPr>
        <w:t>Review of the</w:t>
      </w:r>
      <w:r>
        <w:rPr>
          <w:spacing w:val="1"/>
          <w:u w:val="thick"/>
        </w:rPr>
        <w:t xml:space="preserve"> </w:t>
      </w:r>
      <w:r>
        <w:rPr>
          <w:u w:val="thick"/>
        </w:rPr>
        <w:t>Policy</w:t>
      </w:r>
    </w:p>
    <w:p w:rsidR="00DB0F81" w:rsidRDefault="00DB0F81">
      <w:pPr>
        <w:pStyle w:val="BodyText"/>
        <w:rPr>
          <w:b/>
          <w:sz w:val="12"/>
        </w:rPr>
      </w:pPr>
    </w:p>
    <w:p w:rsidR="00DB0F81" w:rsidRDefault="00231745">
      <w:pPr>
        <w:pStyle w:val="ListParagraph"/>
        <w:numPr>
          <w:ilvl w:val="1"/>
          <w:numId w:val="1"/>
        </w:numPr>
        <w:tabs>
          <w:tab w:val="left" w:pos="820"/>
          <w:tab w:val="left" w:pos="821"/>
        </w:tabs>
        <w:spacing w:before="93"/>
        <w:ind w:right="123" w:firstLine="0"/>
        <w:rPr>
          <w:sz w:val="20"/>
        </w:rPr>
      </w:pPr>
      <w:r>
        <w:rPr>
          <w:sz w:val="20"/>
        </w:rPr>
        <w:t>This Policy shall be subject to review as may be deemed necessary by the Board of directors of the Company or in case of any regulatory</w:t>
      </w:r>
      <w:r>
        <w:rPr>
          <w:spacing w:val="-7"/>
          <w:sz w:val="20"/>
        </w:rPr>
        <w:t xml:space="preserve"> </w:t>
      </w:r>
      <w:r>
        <w:rPr>
          <w:sz w:val="20"/>
        </w:rPr>
        <w:t>amendments.</w:t>
      </w:r>
    </w:p>
    <w:p w:rsidR="00DB0F81" w:rsidRDefault="00DB0F81">
      <w:pPr>
        <w:pStyle w:val="BodyText"/>
        <w:spacing w:before="10"/>
        <w:rPr>
          <w:sz w:val="19"/>
        </w:rPr>
      </w:pPr>
    </w:p>
    <w:p w:rsidR="00DB0F81" w:rsidRDefault="00231745">
      <w:pPr>
        <w:pStyle w:val="Heading1"/>
        <w:numPr>
          <w:ilvl w:val="0"/>
          <w:numId w:val="1"/>
        </w:numPr>
        <w:tabs>
          <w:tab w:val="left" w:pos="820"/>
          <w:tab w:val="left" w:pos="821"/>
        </w:tabs>
        <w:spacing w:before="1"/>
        <w:ind w:hanging="721"/>
        <w:rPr>
          <w:u w:val="none"/>
        </w:rPr>
      </w:pPr>
      <w:r>
        <w:rPr>
          <w:u w:val="thick"/>
        </w:rPr>
        <w:t>Scope and limitation</w:t>
      </w:r>
    </w:p>
    <w:p w:rsidR="00DB0F81" w:rsidRDefault="00DB0F81">
      <w:pPr>
        <w:pStyle w:val="BodyText"/>
        <w:spacing w:before="11"/>
        <w:rPr>
          <w:b/>
          <w:sz w:val="11"/>
        </w:rPr>
      </w:pPr>
    </w:p>
    <w:p w:rsidR="00DB0F81" w:rsidRDefault="00231745">
      <w:pPr>
        <w:pStyle w:val="ListParagraph"/>
        <w:numPr>
          <w:ilvl w:val="1"/>
          <w:numId w:val="1"/>
        </w:numPr>
        <w:tabs>
          <w:tab w:val="left" w:pos="821"/>
        </w:tabs>
        <w:spacing w:before="93"/>
        <w:ind w:right="119" w:firstLine="0"/>
        <w:jc w:val="both"/>
        <w:rPr>
          <w:sz w:val="20"/>
        </w:rPr>
      </w:pPr>
      <w:r>
        <w:rPr>
          <w:sz w:val="20"/>
        </w:rPr>
        <w:t>In the event of any conflict between the provisions of this Policy and the SEBI LODR or the Act or any other relevant legislation/ regulation applicable to the Company, the provisions of the SEBI LODR or the Act or such other relevant law / regulation shall prevail over this</w:t>
      </w:r>
      <w:r>
        <w:rPr>
          <w:spacing w:val="-17"/>
          <w:sz w:val="20"/>
        </w:rPr>
        <w:t xml:space="preserve"> </w:t>
      </w:r>
      <w:r>
        <w:rPr>
          <w:sz w:val="20"/>
        </w:rPr>
        <w:t>Policy.</w:t>
      </w:r>
    </w:p>
    <w:sectPr w:rsidR="00DB0F81">
      <w:pgSz w:w="11910" w:h="16840"/>
      <w:pgMar w:top="1440" w:right="1320" w:bottom="700" w:left="1340" w:header="279" w:footer="51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C48D4" w:rsidRDefault="000C48D4">
      <w:r>
        <w:separator/>
      </w:r>
    </w:p>
  </w:endnote>
  <w:endnote w:type="continuationSeparator" w:id="0">
    <w:p w:rsidR="000C48D4" w:rsidRDefault="000C48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B0F81" w:rsidRDefault="000C48D4">
    <w:pPr>
      <w:pStyle w:val="BodyText"/>
      <w:spacing w:line="14" w:lineRule="auto"/>
    </w:pPr>
    <w:r>
      <w:pict>
        <v:shapetype id="_x0000_t202" coordsize="21600,21600" o:spt="202" path="m,l,21600r21600,l21600,xe">
          <v:stroke joinstyle="miter"/>
          <v:path gradientshapeok="t" o:connecttype="rect"/>
        </v:shapetype>
        <v:shape id="_x0000_s2049" type="#_x0000_t202" style="position:absolute;margin-left:283.8pt;margin-top:805.15pt;width:14.2pt;height:13.15pt;z-index:-251657728;mso-position-horizontal-relative:page;mso-position-vertical-relative:page" filled="f" stroked="f">
          <v:textbox inset="0,0,0,0">
            <w:txbxContent>
              <w:p w:rsidR="00DB0F81" w:rsidRDefault="00231745">
                <w:pPr>
                  <w:pStyle w:val="BodyText"/>
                  <w:spacing w:before="12"/>
                  <w:ind w:left="20"/>
                </w:pPr>
                <w:r>
                  <w:t>(</w:t>
                </w:r>
                <w:r>
                  <w:fldChar w:fldCharType="begin"/>
                </w:r>
                <w:r>
                  <w:instrText xml:space="preserve"> PAGE </w:instrText>
                </w:r>
                <w:r>
                  <w:fldChar w:fldCharType="separate"/>
                </w:r>
                <w:r>
                  <w:t>1</w:t>
                </w:r>
                <w:r>
                  <w:fldChar w:fldCharType="end"/>
                </w:r>
                <w:r>
                  <w:t>)</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C48D4" w:rsidRDefault="000C48D4">
      <w:r>
        <w:separator/>
      </w:r>
    </w:p>
  </w:footnote>
  <w:footnote w:type="continuationSeparator" w:id="0">
    <w:p w:rsidR="000C48D4" w:rsidRDefault="000C48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60C2B" w:rsidRPr="00B60C2B" w:rsidRDefault="000C48D4" w:rsidP="00B60C2B">
    <w:pPr>
      <w:spacing w:before="82"/>
      <w:ind w:left="2443" w:right="2584"/>
      <w:rPr>
        <w:b/>
        <w:color w:val="FF0000"/>
        <w:sz w:val="24"/>
        <w:szCs w:val="24"/>
      </w:rPr>
    </w:pPr>
    <w:r>
      <w:rPr>
        <w:b/>
        <w:color w:val="FF0000"/>
        <w:sz w:val="24"/>
        <w:szCs w:val="24"/>
      </w:rPr>
      <w:pict>
        <v:shape id="_x0000_s2051" style="position:absolute;left:0;text-align:left;margin-left:61.55pt;margin-top:74.9pt;width:462pt;height:710.2pt;z-index:-251655680;mso-position-horizontal-relative:page;mso-position-vertical-relative:page" coordorigin="1231,1498" coordsize="9240,14204" o:spt="100" adj="0,,0" path="m10471,15691r-9230,l1241,15691r,-14193l1231,1498r,14193l1231,15701r10,l10471,15701r,-10xm10471,1498r-9230,l1241,1507r9230,l10471,1498xe" fillcolor="black" stroked="f">
          <v:stroke joinstyle="round"/>
          <v:formulas/>
          <v:path arrowok="t" o:connecttype="segments"/>
          <w10:wrap anchorx="page" anchory="page"/>
        </v:shape>
      </w:pict>
    </w:r>
    <w:r w:rsidR="00B60C2B" w:rsidRPr="00B60C2B">
      <w:rPr>
        <w:b/>
        <w:color w:val="FF0000"/>
        <w:sz w:val="24"/>
        <w:szCs w:val="24"/>
      </w:rPr>
      <w:t>TEJNAKSH HEALTHCARE LIMITED</w:t>
    </w:r>
  </w:p>
  <w:p w:rsidR="00DB0F81" w:rsidRPr="00B60C2B" w:rsidRDefault="00B60C2B" w:rsidP="00B60C2B">
    <w:pPr>
      <w:pStyle w:val="Header"/>
      <w:rPr>
        <w:color w:val="FF0000"/>
        <w:sz w:val="20"/>
      </w:rPr>
    </w:pPr>
    <w:r w:rsidRPr="00B60C2B">
      <w:rPr>
        <w:sz w:val="20"/>
      </w:rPr>
      <w:t xml:space="preserve">                                                </w:t>
    </w:r>
    <w:r>
      <w:rPr>
        <w:sz w:val="20"/>
      </w:rPr>
      <w:t xml:space="preserve">     </w:t>
    </w:r>
    <w:r w:rsidRPr="00B60C2B">
      <w:rPr>
        <w:color w:val="FF0000"/>
        <w:sz w:val="20"/>
      </w:rPr>
      <w:t>L85100MH2008PLC179034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910A0E"/>
    <w:multiLevelType w:val="multilevel"/>
    <w:tmpl w:val="BAA016A4"/>
    <w:lvl w:ilvl="0">
      <w:start w:val="1"/>
      <w:numFmt w:val="decimal"/>
      <w:lvlText w:val="%1."/>
      <w:lvlJc w:val="left"/>
      <w:pPr>
        <w:ind w:left="820" w:hanging="720"/>
        <w:jc w:val="left"/>
      </w:pPr>
      <w:rPr>
        <w:rFonts w:ascii="Arial" w:eastAsia="Arial" w:hAnsi="Arial" w:cs="Arial" w:hint="default"/>
        <w:spacing w:val="-1"/>
        <w:w w:val="99"/>
        <w:sz w:val="20"/>
        <w:szCs w:val="20"/>
        <w:lang w:val="en-US" w:eastAsia="en-US" w:bidi="ar-SA"/>
      </w:rPr>
    </w:lvl>
    <w:lvl w:ilvl="1">
      <w:start w:val="1"/>
      <w:numFmt w:val="decimal"/>
      <w:lvlText w:val="%1.%2"/>
      <w:lvlJc w:val="left"/>
      <w:pPr>
        <w:ind w:left="100" w:hanging="720"/>
        <w:jc w:val="left"/>
      </w:pPr>
      <w:rPr>
        <w:rFonts w:ascii="Arial" w:eastAsia="Arial" w:hAnsi="Arial" w:cs="Arial" w:hint="default"/>
        <w:spacing w:val="-1"/>
        <w:w w:val="99"/>
        <w:sz w:val="20"/>
        <w:szCs w:val="20"/>
        <w:lang w:val="en-US" w:eastAsia="en-US" w:bidi="ar-SA"/>
      </w:rPr>
    </w:lvl>
    <w:lvl w:ilvl="2">
      <w:start w:val="1"/>
      <w:numFmt w:val="lowerRoman"/>
      <w:lvlText w:val="%3)"/>
      <w:lvlJc w:val="left"/>
      <w:pPr>
        <w:ind w:left="1094" w:hanging="255"/>
        <w:jc w:val="right"/>
      </w:pPr>
      <w:rPr>
        <w:rFonts w:ascii="Arial" w:eastAsia="Arial" w:hAnsi="Arial" w:cs="Arial" w:hint="default"/>
        <w:spacing w:val="-2"/>
        <w:w w:val="99"/>
        <w:sz w:val="20"/>
        <w:szCs w:val="20"/>
        <w:lang w:val="en-US" w:eastAsia="en-US" w:bidi="ar-SA"/>
      </w:rPr>
    </w:lvl>
    <w:lvl w:ilvl="3">
      <w:numFmt w:val="bullet"/>
      <w:lvlText w:val="•"/>
      <w:lvlJc w:val="left"/>
      <w:pPr>
        <w:ind w:left="2118" w:hanging="255"/>
      </w:pPr>
      <w:rPr>
        <w:rFonts w:hint="default"/>
        <w:lang w:val="en-US" w:eastAsia="en-US" w:bidi="ar-SA"/>
      </w:rPr>
    </w:lvl>
    <w:lvl w:ilvl="4">
      <w:numFmt w:val="bullet"/>
      <w:lvlText w:val="•"/>
      <w:lvlJc w:val="left"/>
      <w:pPr>
        <w:ind w:left="3137" w:hanging="255"/>
      </w:pPr>
      <w:rPr>
        <w:rFonts w:hint="default"/>
        <w:lang w:val="en-US" w:eastAsia="en-US" w:bidi="ar-SA"/>
      </w:rPr>
    </w:lvl>
    <w:lvl w:ilvl="5">
      <w:numFmt w:val="bullet"/>
      <w:lvlText w:val="•"/>
      <w:lvlJc w:val="left"/>
      <w:pPr>
        <w:ind w:left="4155" w:hanging="255"/>
      </w:pPr>
      <w:rPr>
        <w:rFonts w:hint="default"/>
        <w:lang w:val="en-US" w:eastAsia="en-US" w:bidi="ar-SA"/>
      </w:rPr>
    </w:lvl>
    <w:lvl w:ilvl="6">
      <w:numFmt w:val="bullet"/>
      <w:lvlText w:val="•"/>
      <w:lvlJc w:val="left"/>
      <w:pPr>
        <w:ind w:left="5174" w:hanging="255"/>
      </w:pPr>
      <w:rPr>
        <w:rFonts w:hint="default"/>
        <w:lang w:val="en-US" w:eastAsia="en-US" w:bidi="ar-SA"/>
      </w:rPr>
    </w:lvl>
    <w:lvl w:ilvl="7">
      <w:numFmt w:val="bullet"/>
      <w:lvlText w:val="•"/>
      <w:lvlJc w:val="left"/>
      <w:pPr>
        <w:ind w:left="6193" w:hanging="255"/>
      </w:pPr>
      <w:rPr>
        <w:rFonts w:hint="default"/>
        <w:lang w:val="en-US" w:eastAsia="en-US" w:bidi="ar-SA"/>
      </w:rPr>
    </w:lvl>
    <w:lvl w:ilvl="8">
      <w:numFmt w:val="bullet"/>
      <w:lvlText w:val="•"/>
      <w:lvlJc w:val="left"/>
      <w:pPr>
        <w:ind w:left="7211" w:hanging="255"/>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DB0F81"/>
    <w:rsid w:val="00020DCD"/>
    <w:rsid w:val="000C48D4"/>
    <w:rsid w:val="00231745"/>
    <w:rsid w:val="00996A80"/>
    <w:rsid w:val="00A964C5"/>
    <w:rsid w:val="00B60C2B"/>
    <w:rsid w:val="00DB0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8BA3EE8"/>
  <w15:docId w15:val="{37A11344-DC62-4E74-9289-2E65E91524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820" w:hanging="721"/>
      <w:jc w:val="both"/>
      <w:outlineLvl w:val="0"/>
    </w:pPr>
    <w:rPr>
      <w:b/>
      <w:bCs/>
      <w:sz w:val="20"/>
      <w:szCs w:val="2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100" w:hanging="721"/>
    </w:pPr>
  </w:style>
  <w:style w:type="paragraph" w:customStyle="1" w:styleId="TableParagraph">
    <w:name w:val="Table Paragraph"/>
    <w:basedOn w:val="Normal"/>
    <w:uiPriority w:val="1"/>
    <w:qFormat/>
    <w:pPr>
      <w:ind w:left="346"/>
    </w:pPr>
  </w:style>
  <w:style w:type="paragraph" w:styleId="Header">
    <w:name w:val="header"/>
    <w:basedOn w:val="Normal"/>
    <w:link w:val="HeaderChar"/>
    <w:uiPriority w:val="99"/>
    <w:unhideWhenUsed/>
    <w:rsid w:val="00B60C2B"/>
    <w:pPr>
      <w:tabs>
        <w:tab w:val="center" w:pos="4680"/>
        <w:tab w:val="right" w:pos="9360"/>
      </w:tabs>
    </w:pPr>
  </w:style>
  <w:style w:type="character" w:customStyle="1" w:styleId="HeaderChar">
    <w:name w:val="Header Char"/>
    <w:basedOn w:val="DefaultParagraphFont"/>
    <w:link w:val="Header"/>
    <w:uiPriority w:val="99"/>
    <w:rsid w:val="00B60C2B"/>
    <w:rPr>
      <w:rFonts w:ascii="Arial" w:eastAsia="Arial" w:hAnsi="Arial" w:cs="Arial"/>
    </w:rPr>
  </w:style>
  <w:style w:type="paragraph" w:styleId="Footer">
    <w:name w:val="footer"/>
    <w:basedOn w:val="Normal"/>
    <w:link w:val="FooterChar"/>
    <w:uiPriority w:val="99"/>
    <w:unhideWhenUsed/>
    <w:rsid w:val="00B60C2B"/>
    <w:pPr>
      <w:tabs>
        <w:tab w:val="center" w:pos="4680"/>
        <w:tab w:val="right" w:pos="9360"/>
      </w:tabs>
    </w:pPr>
  </w:style>
  <w:style w:type="character" w:customStyle="1" w:styleId="FooterChar">
    <w:name w:val="Footer Char"/>
    <w:basedOn w:val="DefaultParagraphFont"/>
    <w:link w:val="Footer"/>
    <w:uiPriority w:val="99"/>
    <w:rsid w:val="00B60C2B"/>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738</Words>
  <Characters>4210</Characters>
  <Application>Microsoft Office Word</Application>
  <DocSecurity>0</DocSecurity>
  <Lines>35</Lines>
  <Paragraphs>9</Paragraphs>
  <ScaleCrop>false</ScaleCrop>
  <Company>CGI</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Hanoz M Mistry</dc:creator>
  <cp:lastModifiedBy>Shaikh, Afrin </cp:lastModifiedBy>
  <cp:revision>4</cp:revision>
  <dcterms:created xsi:type="dcterms:W3CDTF">2022-05-10T13:27:00Z</dcterms:created>
  <dcterms:modified xsi:type="dcterms:W3CDTF">2022-05-10T13:41:00Z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2019-04-13T00:00:00Z</vt:filetime>
  </property>
  <property fmtid="{D5CDD505-2E9C-101B-9397-08002B2CF9AE}" pid="3" name="Creator">
    <vt:lpwstr>Microsoft® Word for Office 365</vt:lpwstr>
  </property>
  <property fmtid="{D5CDD505-2E9C-101B-9397-08002B2CF9AE}" pid="4" name="LastSaved">
    <vt:filetime>2022-05-10T00:00:00Z</vt:filetime>
  </property>
</Properties>
</file>